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B0" w:rsidRDefault="00B66391" w:rsidP="002E3333">
      <w:pPr>
        <w:widowControl/>
        <w:shd w:val="clear" w:color="auto" w:fill="FFFFFF"/>
        <w:adjustRightInd w:val="0"/>
        <w:snapToGrid w:val="0"/>
        <w:spacing w:beforeLines="50" w:afterLines="50" w:line="600" w:lineRule="exact"/>
        <w:ind w:firstLine="641"/>
        <w:rPr>
          <w:rFonts w:ascii="黑体" w:eastAsia="黑体" w:hAnsi="Times New Roman"/>
          <w:b/>
          <w:color w:val="000000"/>
          <w:kern w:val="0"/>
          <w:sz w:val="32"/>
          <w:szCs w:val="32"/>
        </w:rPr>
      </w:pPr>
      <w:r>
        <w:rPr>
          <w:rFonts w:ascii="黑体" w:eastAsia="黑体" w:hAnsi="Times New Roman" w:hint="eastAsia"/>
          <w:b/>
          <w:color w:val="000000"/>
          <w:kern w:val="0"/>
          <w:sz w:val="32"/>
          <w:szCs w:val="32"/>
        </w:rPr>
        <w:t>一、2020年度继续教育与培训计划</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各单位（部门）可申报院设立的以下培训项目：</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（一）专项技术短期培训班</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为使科技人员适应科学技术的发展，不断掌握技术领域的新技能、新方法，开拓视野，提高科学实验技能和实验仪器的使用效能，2020年院继续支持研究所举办专项技术短期培训班。</w:t>
      </w:r>
      <w:r>
        <w:rPr>
          <w:rFonts w:ascii="仿宋_GB2312" w:eastAsia="仿宋_GB2312" w:hAnsi="Times New Roman" w:hint="eastAsia"/>
          <w:b/>
          <w:color w:val="000000"/>
          <w:kern w:val="0"/>
          <w:sz w:val="32"/>
          <w:szCs w:val="32"/>
        </w:rPr>
        <w:t>专项技术短期培训班时间不少于2天</w:t>
      </w:r>
      <w:r>
        <w:rPr>
          <w:rFonts w:ascii="仿宋_GB2312" w:eastAsia="仿宋_GB2312" w:hAnsi="Times New Roman" w:hint="eastAsia"/>
          <w:color w:val="000000"/>
          <w:kern w:val="0"/>
          <w:sz w:val="32"/>
          <w:szCs w:val="32"/>
        </w:rPr>
        <w:t>，参加人员为科技人员，通过专项技术培训、专题讲座、技术观摩、实地考察和实践技能交流等形式，加强实验技术教学指导和素质能力提升。鼓励各研究所联合施训，促进各类资源的协调与整合，实现培训资源的共享。</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（二）专业技术研修班</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为加强科研人员队伍建设，促进相关学科领域的发展，为广大科研人员了解科学前沿新知识、新技术提供学术交流平台，不断更新知识，2020年院将继续资助研究所举办专业技术研修班。</w:t>
      </w:r>
      <w:r>
        <w:rPr>
          <w:rFonts w:ascii="仿宋_GB2312" w:eastAsia="仿宋_GB2312" w:hAnsi="Times New Roman" w:hint="eastAsia"/>
          <w:b/>
          <w:color w:val="000000"/>
          <w:kern w:val="0"/>
          <w:sz w:val="32"/>
          <w:szCs w:val="32"/>
        </w:rPr>
        <w:t>专业技术研修班时间不少于3天</w:t>
      </w:r>
      <w:r>
        <w:rPr>
          <w:rFonts w:ascii="仿宋_GB2312" w:eastAsia="仿宋_GB2312" w:hAnsi="Times New Roman" w:hint="eastAsia"/>
          <w:color w:val="000000"/>
          <w:kern w:val="0"/>
          <w:sz w:val="32"/>
          <w:szCs w:val="32"/>
        </w:rPr>
        <w:t>，参加人员为科研人员，采取主题报告、专题研讨、学术交流、现场教学等多种方式进行研修，培训内容以更新专业知识、拓展知识领域、提高科技创新能力为主。</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（三）管理培训班</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int="eastAsia"/>
          <w:color w:val="000000"/>
          <w:sz w:val="32"/>
          <w:szCs w:val="32"/>
        </w:rPr>
        <w:t>为进一步落实从严治党要求，全面贯彻落实习近平新时代中国特色社会主义思想和党的十九大精神，坚定理想信念、增强纪</w:t>
      </w:r>
      <w:r>
        <w:rPr>
          <w:rFonts w:ascii="仿宋_GB2312" w:eastAsia="仿宋_GB2312" w:hint="eastAsia"/>
          <w:color w:val="000000"/>
          <w:sz w:val="32"/>
          <w:szCs w:val="32"/>
        </w:rPr>
        <w:lastRenderedPageBreak/>
        <w:t>律意识、强化责任担当、凝聚工作合力、提高管理水平，</w:t>
      </w:r>
      <w:r>
        <w:rPr>
          <w:rFonts w:ascii="仿宋_GB2312" w:eastAsia="仿宋_GB2312" w:hAnsi="Times New Roman" w:hint="eastAsia"/>
          <w:color w:val="000000"/>
          <w:kern w:val="0"/>
          <w:sz w:val="32"/>
          <w:szCs w:val="32"/>
        </w:rPr>
        <w:t>各单位（部门）可通过短期培训班、专题研讨、系列讲座等多种方式，积极开展管理干部培训。</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各分院要认真规划、统筹安排，抓好本地区各单位管理干部的培训工作。提倡跨地区联合举办培训班，促进管理经验的交流和研讨。院机关各部门要紧密围绕推动重点工作的实际需要，有计划地组织好本系统管理干部的公需类培训，以提高本系统管理干部的业务素质和工作水平。</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（四）学术讲坛</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为帮助科技人员跟踪国际科学前沿，加强与国际一流科研机构的合作和交流，2020年将继续鼓励研究所邀请国外一流科研机构或大学的知名专家、学者到国内举办学术讲座或专题报告。</w:t>
      </w:r>
      <w:r>
        <w:rPr>
          <w:rFonts w:ascii="仿宋_GB2312" w:eastAsia="仿宋_GB2312" w:hAnsi="Times New Roman" w:hint="eastAsia"/>
          <w:b/>
          <w:color w:val="000000"/>
          <w:kern w:val="0"/>
          <w:sz w:val="32"/>
          <w:szCs w:val="32"/>
        </w:rPr>
        <w:t>单场讲座或报告学时不少于4学时，每年围绕相关主题不定期举办系列讲座或报告不少于6场的</w:t>
      </w:r>
      <w:r>
        <w:rPr>
          <w:rFonts w:ascii="仿宋_GB2312" w:eastAsia="仿宋_GB2312" w:hAnsi="Times New Roman" w:hint="eastAsia"/>
          <w:color w:val="000000"/>
          <w:kern w:val="0"/>
          <w:sz w:val="32"/>
          <w:szCs w:val="32"/>
        </w:rPr>
        <w:t>，可申请院“学术讲坛”支持，并在中国科学院继续教育网共享培训资源。</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（五）精品培训项目</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为鼓励各单位（部门）立足自身学科优势举办科研特色培训项目或结合工作实际需求组织管理类培训项目，各单位（部门）可申请院级精品培训项目经费资助。申报院级精品培训的项目需满足如下条件：</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 培训班至少已举办过1次；</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 培训班时间不少于4天，参加学员不少于70人；</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lastRenderedPageBreak/>
        <w:t>3. 培训内容有前瞻性、实用性和针对性，能够围绕深入实施“率先行动”计划，注重面向院8个重大创新领域和国家重大科技基础设施、数据与计算平台等两类公共支撑平台，在本领域内可广泛共享；</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4. 课程设置合理，创新培训方式方法；</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5. 有相对稳定的高水平师资队伍；</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6. 有自编特色培训教材；</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7. 培训得到学员的广泛认可，有一定的社会影响力。</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精品培训项目评估将采取跟班测评和学员测评两种方式进行，以多角度反映实际培训效果。院人事局根据提交的总结材料及现场评估情况，重点就项目组织实施、培训效果、学员反馈以及经费使用等情况进行评估。评估结果作为持续支持精品培训项目的重要依据。对于培训质量不高、培训效果不佳的精品培训项目，将停止项目资助。</w:t>
      </w:r>
    </w:p>
    <w:p w:rsidR="00C50EB0" w:rsidRDefault="00B66391" w:rsidP="002E3333">
      <w:pPr>
        <w:widowControl/>
        <w:shd w:val="clear" w:color="auto" w:fill="FFFFFF"/>
        <w:adjustRightInd w:val="0"/>
        <w:snapToGrid w:val="0"/>
        <w:spacing w:beforeLines="50" w:afterLines="50" w:line="600" w:lineRule="exact"/>
        <w:ind w:firstLine="641"/>
        <w:rPr>
          <w:rFonts w:ascii="黑体" w:eastAsia="黑体" w:hAnsi="Times New Roman"/>
          <w:b/>
          <w:color w:val="000000"/>
          <w:kern w:val="0"/>
          <w:sz w:val="32"/>
          <w:szCs w:val="32"/>
        </w:rPr>
      </w:pPr>
      <w:r>
        <w:rPr>
          <w:rFonts w:ascii="黑体" w:eastAsia="黑体" w:hAnsi="Times New Roman" w:hint="eastAsia"/>
          <w:b/>
          <w:color w:val="000000"/>
          <w:kern w:val="0"/>
          <w:sz w:val="32"/>
          <w:szCs w:val="32"/>
        </w:rPr>
        <w:t>二、2020年度优质课程资源征集</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为扩大培训受益面，提高培训效益，实现各类优质继续教育与培训资源的开放共享，最大限度地满足地区、单位与个人的多元化培训需求，现面向全院开展继续教育与培训优质课程资源征集工作，优质课程资源主要分为：</w:t>
      </w:r>
    </w:p>
    <w:p w:rsidR="00C50EB0" w:rsidRDefault="00B66391" w:rsidP="00BF3781">
      <w:pPr>
        <w:widowControl/>
        <w:shd w:val="clear" w:color="auto" w:fill="FFFFFF"/>
        <w:adjustRightInd w:val="0"/>
        <w:snapToGrid w:val="0"/>
        <w:spacing w:line="600" w:lineRule="exact"/>
        <w:ind w:firstLineChars="200" w:firstLine="617"/>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（一）微课件</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lastRenderedPageBreak/>
        <w:t>微课件是继续教育与培训的重要基础性资源，也是中国科学院继续教育网的主要学习内容。微课件突出学习便捷性，通过“小而精”的课件满足对热点、难点问题的了解及学习需求，由制作单位（计算机网络信息中心）和各申报单位相互配合，共同策划、开发及制作。申报2020年度微课件的项目必须满足以下要求：</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 微课件应为各类人员普遍需求且实用性广、特色鲜明、学员反响较好的课程资源。微课件可为之前累积的相关内容，也可是拟重新制作的课程资源。微课件时长为20-30分钟。</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 微课件分为三大类：重大科研项目类、平台技术类和公需类。重大科研项目类微课件重点分享交流科研难题和产出；平台技术类微课件结合案例讲解关键技术应用；公需类微课件面向社会热点，探索解决“卡脖子”问题。</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3. 申报的微课件应坚持正面宣传为主，同时严格遵守国家有关法律法规，不涉及国家安全和保密等方面的内容，不得违反知识产权相关规定，微课件制作前申报单位应签署相关的知识产权保护协议。</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4. 申报单位为微课件的开发主体，拥有相应知识产权和所有权。微课件须在“中国科学院继续教育网”共享，供全院职工学习。</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（二）电子教材</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为提升全院继续教育与培训课程品质，鼓励并规范教材资源的共享，各单位（部门）可根据实际情况制作电子教材。电子教</w:t>
      </w:r>
      <w:r>
        <w:rPr>
          <w:rFonts w:ascii="仿宋_GB2312" w:eastAsia="仿宋_GB2312" w:hAnsi="Times New Roman" w:hint="eastAsia"/>
          <w:color w:val="000000"/>
          <w:kern w:val="0"/>
          <w:sz w:val="32"/>
          <w:szCs w:val="32"/>
        </w:rPr>
        <w:lastRenderedPageBreak/>
        <w:t>材需为本单位组织的公需类培训中广泛使用且反响较好的系统性教材，鼓励各单位提供已成型的教材。电子教材可补充完善培训项目的相关理论知识，满足各类人员公需类培训的学习需求，为全院各类培训班提供丰富多样和良好品质的资源服务。</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（三）内训师资源</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sz w:val="32"/>
          <w:szCs w:val="32"/>
          <w:shd w:val="clear" w:color="auto" w:fill="FFFFFF"/>
        </w:rPr>
      </w:pPr>
      <w:r>
        <w:rPr>
          <w:rFonts w:ascii="仿宋_GB2312" w:eastAsia="仿宋_GB2312" w:hAnsi="Times New Roman" w:hint="eastAsia"/>
          <w:color w:val="000000"/>
          <w:kern w:val="0"/>
          <w:sz w:val="32"/>
          <w:szCs w:val="32"/>
        </w:rPr>
        <w:t>为更好的利用我院</w:t>
      </w:r>
      <w:r>
        <w:rPr>
          <w:rFonts w:ascii="仿宋_GB2312" w:eastAsia="仿宋_GB2312" w:hAnsi="Times New Roman" w:hint="eastAsia"/>
          <w:color w:val="000000"/>
          <w:sz w:val="32"/>
          <w:szCs w:val="32"/>
          <w:shd w:val="clear" w:color="auto" w:fill="FFFFFF"/>
        </w:rPr>
        <w:t>人才、资源等方面的整体优势，鼓励师资共享，提高资源使用效益，将在全院范围内征集内训师资源，符合条件的师资将统一纳入“中国科学院继续教育网”师资库管理。申报内训师资源的师资需满足以下要求：</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1. 思想政治观点与以习近平同志为核心的党中央保持高度一致，能够体现马克思主义中国化最新成果。</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2. 擅长本领域研究，能够开展系列专业培训，或者有丰富的解决实际问题的经验，具有副研及以上专业技术职务，45岁以下的优秀中青年骨干教师可适度放宽。</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3. 授课认真负责，具有较强的语言表达能力和感染力，有意愿和精力投入培训工作中。</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（四）青年人才成长课堂</w:t>
      </w:r>
    </w:p>
    <w:p w:rsidR="00C50EB0" w:rsidRDefault="00B66391">
      <w:pPr>
        <w:widowControl/>
        <w:shd w:val="clear" w:color="auto" w:fill="FFFFFF"/>
        <w:adjustRightInd w:val="0"/>
        <w:snapToGrid w:val="0"/>
        <w:spacing w:line="600" w:lineRule="exact"/>
        <w:ind w:firstLine="640"/>
        <w:rPr>
          <w:rFonts w:ascii="仿宋_GB2312" w:eastAsia="仿宋_GB2312" w:hAnsi="Times New Roman"/>
          <w:color w:val="000000"/>
          <w:kern w:val="0"/>
          <w:sz w:val="32"/>
          <w:szCs w:val="32"/>
        </w:rPr>
      </w:pPr>
      <w:r>
        <w:rPr>
          <w:rFonts w:ascii="仿宋_GB2312" w:eastAsia="仿宋_GB2312" w:hAnsi="Times New Roman" w:hint="eastAsia"/>
          <w:color w:val="000000"/>
          <w:kern w:val="0"/>
          <w:sz w:val="32"/>
          <w:szCs w:val="32"/>
        </w:rPr>
        <w:t>为进一步加强研究所人才队伍建设，根据青年人才成长规律和人才队伍建设发展需求，2020年新设立青年人才成长课堂，院将择优支持若干位青年人才进入青年人才成长课堂，进行主题课程的开发和制作。本期青年人才成长课堂将以微课件形式呈现，采取培训、辅导录制方式，打造以宣传学科建设、提高研究所影</w:t>
      </w:r>
      <w:r>
        <w:rPr>
          <w:rFonts w:ascii="仿宋_GB2312" w:eastAsia="仿宋_GB2312" w:hAnsi="Times New Roman" w:hint="eastAsia"/>
          <w:color w:val="000000"/>
          <w:kern w:val="0"/>
          <w:sz w:val="32"/>
          <w:szCs w:val="32"/>
        </w:rPr>
        <w:lastRenderedPageBreak/>
        <w:t>响力的特色课程。各单位青年人才主讲课程类型包含科技类、管理类和党政修养类，课件使用频率及效果将作为研究所下一年度申报精品培训班的重要参考。</w:t>
      </w:r>
    </w:p>
    <w:sectPr w:rsidR="00C50EB0" w:rsidSect="00AC277E">
      <w:headerReference w:type="even" r:id="rId8"/>
      <w:headerReference w:type="default" r:id="rId9"/>
      <w:footerReference w:type="even" r:id="rId10"/>
      <w:footerReference w:type="default" r:id="rId11"/>
      <w:footerReference w:type="first" r:id="rId12"/>
      <w:pgSz w:w="11906" w:h="16838"/>
      <w:pgMar w:top="1701" w:right="1588" w:bottom="1134" w:left="1588" w:header="851" w:footer="851" w:gutter="0"/>
      <w:cols w:space="425"/>
      <w:docGrid w:type="linesAndChars" w:linePitch="636" w:charSpace="17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C68" w:rsidRDefault="001C4C68" w:rsidP="00C50EB0">
      <w:r>
        <w:separator/>
      </w:r>
    </w:p>
  </w:endnote>
  <w:endnote w:type="continuationSeparator" w:id="0">
    <w:p w:rsidR="001C4C68" w:rsidRDefault="001C4C68" w:rsidP="00C50E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B0" w:rsidRDefault="00B66391">
    <w:pPr>
      <w:pStyle w:val="a3"/>
      <w:spacing w:line="800" w:lineRule="exact"/>
      <w:ind w:firstLineChars="200" w:firstLine="520"/>
      <w:rPr>
        <w:rFonts w:ascii="Tahoma" w:hAnsi="Tahoma" w:cs="Tahoma"/>
        <w:sz w:val="28"/>
        <w:szCs w:val="28"/>
      </w:rPr>
    </w:pPr>
    <w:r>
      <w:rPr>
        <w:rFonts w:ascii="Tahoma" w:hAnsi="Tahoma" w:cs="Tahoma" w:hint="eastAsia"/>
        <w:sz w:val="28"/>
        <w:szCs w:val="28"/>
      </w:rPr>
      <w:t>—</w:t>
    </w:r>
    <w:r>
      <w:rPr>
        <w:rFonts w:ascii="Tahoma" w:hAnsi="Tahoma" w:cs="Tahoma" w:hint="eastAsia"/>
        <w:sz w:val="28"/>
        <w:szCs w:val="28"/>
      </w:rPr>
      <w:t xml:space="preserve"> </w:t>
    </w:r>
    <w:r w:rsidR="000E52BF">
      <w:rPr>
        <w:rFonts w:ascii="Tahoma" w:hAnsi="Tahoma" w:cs="Tahoma"/>
        <w:sz w:val="28"/>
        <w:szCs w:val="28"/>
      </w:rPr>
      <w:fldChar w:fldCharType="begin"/>
    </w:r>
    <w:r>
      <w:rPr>
        <w:rFonts w:ascii="Tahoma" w:hAnsi="Tahoma" w:cs="Tahoma"/>
        <w:sz w:val="28"/>
        <w:szCs w:val="28"/>
      </w:rPr>
      <w:instrText xml:space="preserve"> PAGE   \* MERGEFORMAT </w:instrText>
    </w:r>
    <w:r w:rsidR="000E52BF">
      <w:rPr>
        <w:rFonts w:ascii="Tahoma" w:hAnsi="Tahoma" w:cs="Tahoma"/>
        <w:sz w:val="28"/>
        <w:szCs w:val="28"/>
      </w:rPr>
      <w:fldChar w:fldCharType="separate"/>
    </w:r>
    <w:r>
      <w:rPr>
        <w:rFonts w:ascii="Tahoma" w:hAnsi="Tahoma" w:cs="Tahoma"/>
        <w:sz w:val="28"/>
        <w:szCs w:val="28"/>
        <w:lang w:val="zh-CN"/>
      </w:rPr>
      <w:t>2</w:t>
    </w:r>
    <w:r w:rsidR="000E52BF">
      <w:rPr>
        <w:rFonts w:ascii="Tahoma" w:hAnsi="Tahoma" w:cs="Tahoma"/>
        <w:sz w:val="28"/>
        <w:szCs w:val="28"/>
      </w:rPr>
      <w:fldChar w:fldCharType="end"/>
    </w:r>
    <w:r>
      <w:rPr>
        <w:rFonts w:ascii="Tahoma" w:hAnsi="Tahoma" w:cs="Tahoma" w:hint="eastAsia"/>
        <w:sz w:val="28"/>
        <w:szCs w:val="28"/>
      </w:rPr>
      <w:t xml:space="preserve"> </w:t>
    </w:r>
    <w:r>
      <w:rPr>
        <w:rFonts w:ascii="Tahoma" w:hAnsi="Tahoma" w:cs="Tahoma" w:hint="eastAsia"/>
        <w:sz w:val="28"/>
        <w:szCs w:val="28"/>
      </w:rPr>
      <w:t>—</w:t>
    </w:r>
  </w:p>
  <w:p w:rsidR="00C50EB0" w:rsidRDefault="00C50EB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B0" w:rsidRDefault="00B66391">
    <w:pPr>
      <w:pStyle w:val="a3"/>
      <w:spacing w:line="800" w:lineRule="exact"/>
      <w:ind w:left="1077" w:right="238"/>
      <w:jc w:val="right"/>
      <w:rPr>
        <w:sz w:val="28"/>
        <w:szCs w:val="28"/>
      </w:rPr>
    </w:pPr>
    <w:r>
      <w:rPr>
        <w:rFonts w:hint="eastAsia"/>
        <w:sz w:val="28"/>
        <w:szCs w:val="28"/>
      </w:rPr>
      <w:t>—</w:t>
    </w:r>
    <w:r>
      <w:rPr>
        <w:rFonts w:ascii="Tahoma" w:hAnsi="Tahoma" w:cs="Tahoma"/>
        <w:sz w:val="28"/>
        <w:szCs w:val="28"/>
      </w:rPr>
      <w:t xml:space="preserve"> </w:t>
    </w:r>
    <w:r w:rsidR="000E52BF">
      <w:rPr>
        <w:rFonts w:ascii="Tahoma" w:hAnsi="Tahoma" w:cs="Tahoma"/>
        <w:sz w:val="28"/>
        <w:szCs w:val="28"/>
      </w:rPr>
      <w:fldChar w:fldCharType="begin"/>
    </w:r>
    <w:r>
      <w:rPr>
        <w:rFonts w:ascii="Tahoma" w:hAnsi="Tahoma" w:cs="Tahoma"/>
        <w:sz w:val="28"/>
        <w:szCs w:val="28"/>
      </w:rPr>
      <w:instrText xml:space="preserve"> PAGE   \* MERGEFORMAT </w:instrText>
    </w:r>
    <w:r w:rsidR="000E52BF">
      <w:rPr>
        <w:rFonts w:ascii="Tahoma" w:hAnsi="Tahoma" w:cs="Tahoma"/>
        <w:sz w:val="28"/>
        <w:szCs w:val="28"/>
      </w:rPr>
      <w:fldChar w:fldCharType="separate"/>
    </w:r>
    <w:r w:rsidR="002E3333" w:rsidRPr="002E3333">
      <w:rPr>
        <w:rFonts w:ascii="Tahoma" w:hAnsi="Tahoma" w:cs="Tahoma"/>
        <w:noProof/>
        <w:sz w:val="28"/>
        <w:szCs w:val="28"/>
        <w:lang w:val="zh-CN"/>
      </w:rPr>
      <w:t>6</w:t>
    </w:r>
    <w:r w:rsidR="000E52BF">
      <w:rPr>
        <w:rFonts w:ascii="Tahoma" w:hAnsi="Tahoma" w:cs="Tahoma"/>
        <w:sz w:val="28"/>
        <w:szCs w:val="28"/>
      </w:rPr>
      <w:fldChar w:fldCharType="end"/>
    </w:r>
    <w:r>
      <w:rPr>
        <w:rFonts w:ascii="Tahoma" w:hAnsi="Tahoma" w:cs="Tahoma"/>
        <w:sz w:val="28"/>
        <w:szCs w:val="28"/>
      </w:rPr>
      <w:t xml:space="preserve"> </w:t>
    </w:r>
    <w:r>
      <w:rPr>
        <w:rFonts w:hint="eastAsia"/>
        <w:sz w:val="28"/>
        <w:szCs w:val="28"/>
      </w:rPr>
      <w:t>—</w:t>
    </w:r>
  </w:p>
  <w:p w:rsidR="00AC277E" w:rsidRDefault="00AC277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B0" w:rsidRDefault="000E52BF">
    <w:pPr>
      <w:pStyle w:val="a3"/>
    </w:pPr>
    <w:r>
      <w:pict>
        <v:shapetype id="_x0000_t32" coordsize="21600,21600" o:spt="32" o:oned="t" path="m,l21600,21600e" filled="f">
          <v:path arrowok="t" fillok="f" o:connecttype="none"/>
          <o:lock v:ext="edit" shapetype="t"/>
        </v:shapetype>
        <v:shape id="_x0000_s3074" type="#_x0000_t32" style="position:absolute;margin-left:0;margin-top:-4.2pt;width:481.9pt;height:0;z-index:251659264;mso-position-horizontal:center" o:connectortype="straight" o:gfxdata="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6OYNtUAAAAGAQAA&#10;DwAAAAAAAAABACAAAAAiAAAAZHJzL2Rvd25yZXYueG1sUEsBAhQAFAAAAAgAh07iQPyCRYbjAQAA&#10;nwMAAA4AAAAAAAAAAQAgAAAAJAEAAGRycy9lMm9Eb2MueG1sUEsFBgAAAAAGAAYAWQEAAHkFAAAA&#10;AA==&#10;" strokecolor="red" strokeweight="2pt"/>
      </w:pict>
    </w:r>
    <w:r>
      <w:pict>
        <v:shape id="_x0000_s3073" type="#_x0000_t32" style="position:absolute;margin-left:0;margin-top:-7.1pt;width:481.9pt;height:0;z-index:251658240;mso-position-horizontal:center" o:connectortype="straight" o:gfxdata="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xmqOdUAAAAIAQAA&#10;DwAAAAAAAAABACAAAAAiAAAAZHJzL2Rvd25yZXYueG1sUEsBAhQAFAAAAAgAh07iQEx7/yXjAQAA&#10;nwMAAA4AAAAAAAAAAQAgAAAAJAEAAGRycy9lMm9Eb2MueG1sUEsFBgAAAAAGAAYAWQEAAHkFAAAA&#10;AA==&#10;" strokecolor="red" strokeweight="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C68" w:rsidRDefault="001C4C68" w:rsidP="00C50EB0">
      <w:r>
        <w:separator/>
      </w:r>
    </w:p>
  </w:footnote>
  <w:footnote w:type="continuationSeparator" w:id="0">
    <w:p w:rsidR="001C4C68" w:rsidRDefault="001C4C68" w:rsidP="00C50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B0" w:rsidRDefault="00C50EB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B0" w:rsidRDefault="00C50EB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defaultTabStop w:val="420"/>
  <w:drawingGridHorizontalSpacing w:val="99"/>
  <w:drawingGridVerticalSpacing w:val="318"/>
  <w:displayHorizontalDrawingGridEvery w:val="0"/>
  <w:displayVerticalDrawingGridEvery w:val="2"/>
  <w:characterSpacingControl w:val="compressPunctuation"/>
  <w:hdrShapeDefaults>
    <o:shapedefaults v:ext="edit" spidmax="7170"/>
    <o:shapelayout v:ext="edit">
      <o:idmap v:ext="edit" data="3"/>
      <o:rules v:ext="edit">
        <o:r id="V:Rule3" type="connector" idref="#_x0000_s3074"/>
        <o:r id="V:Rule4" type="connector" idref="#_x0000_s307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DD69BC"/>
    <w:rsid w:val="000E52BF"/>
    <w:rsid w:val="001C4C68"/>
    <w:rsid w:val="002E3333"/>
    <w:rsid w:val="00AC277E"/>
    <w:rsid w:val="00B66391"/>
    <w:rsid w:val="00BF3781"/>
    <w:rsid w:val="00C50EB0"/>
    <w:rsid w:val="38DD6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EB0"/>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50EB0"/>
    <w:pPr>
      <w:tabs>
        <w:tab w:val="center" w:pos="4153"/>
        <w:tab w:val="right" w:pos="8306"/>
      </w:tabs>
      <w:snapToGrid w:val="0"/>
      <w:jc w:val="left"/>
    </w:pPr>
    <w:rPr>
      <w:sz w:val="18"/>
      <w:szCs w:val="18"/>
    </w:rPr>
  </w:style>
  <w:style w:type="paragraph" w:styleId="a4">
    <w:name w:val="header"/>
    <w:basedOn w:val="a"/>
    <w:uiPriority w:val="99"/>
    <w:semiHidden/>
    <w:unhideWhenUsed/>
    <w:rsid w:val="00C50EB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50EB0"/>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5F5175-D3BC-482D-824B-01B5A1D4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王筱蓓</dc:creator>
  <cp:lastModifiedBy>NTKO</cp:lastModifiedBy>
  <cp:revision>4</cp:revision>
  <cp:lastPrinted>2019-10-14T00:38:00Z</cp:lastPrinted>
  <dcterms:created xsi:type="dcterms:W3CDTF">2019-10-14T02:13:00Z</dcterms:created>
  <dcterms:modified xsi:type="dcterms:W3CDTF">2019-10-15T09:35:00Z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